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0" w:line="360" w:lineRule="auto"/>
        <w:jc w:val="right"/>
        <w:rPr>
          <w:sz w:val="24"/>
          <w:szCs w:val="24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Warszawa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18.08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.20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22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</w:rPr>
        <w:t>QubicGames rozpoczyna skup akcji w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asnych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QubicGames, sp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ół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ka stoj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ca na czele grupy kapita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owej zajmuj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cej si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ę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tworzeniem i wydawaniem gier komputerowych na wszystkie kluczowe platformy, zawar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a umow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ę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wsp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ół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pracy w celu skupu akcji w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asnych. Domem maklerskim, kt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ry b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dzie realizowa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ł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ten proces jest BDM. Wydawca chce naby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ć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do 1 mln akcji w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asnych, w cenie nie ni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szej ni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ż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1,00 PLN i nie wy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szej ni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ż 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8,00 PLN.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QubicGames jest uprawniony do zakupienia w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 xml:space="preserve">asnych akcji za </w:t>
      </w:r>
      <w:r>
        <w:rPr>
          <w:rFonts w:ascii="Arial" w:hAnsi="Arial" w:hint="default"/>
          <w:shd w:val="clear" w:color="auto" w:fill="ffffff"/>
          <w:rtl w:val="0"/>
        </w:rPr>
        <w:t>łą</w:t>
      </w:r>
      <w:r>
        <w:rPr>
          <w:rFonts w:ascii="Arial" w:hAnsi="Arial"/>
          <w:shd w:val="clear" w:color="auto" w:fill="ffffff"/>
          <w:rtl w:val="0"/>
        </w:rPr>
        <w:t>czn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kwot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jednego miliona z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otych. Zostan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one nabyte na rynku NewConnect za po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 xml:space="preserve">rednictwem Domu Maklerskiego BDM, a ich </w:t>
      </w:r>
      <w:r>
        <w:rPr>
          <w:rFonts w:ascii="Arial" w:hAnsi="Arial" w:hint="default"/>
          <w:shd w:val="clear" w:color="auto" w:fill="ffffff"/>
          <w:rtl w:val="0"/>
        </w:rPr>
        <w:t>łą</w:t>
      </w:r>
      <w:r>
        <w:rPr>
          <w:rFonts w:ascii="Arial" w:hAnsi="Arial"/>
          <w:shd w:val="clear" w:color="auto" w:fill="ffffff"/>
          <w:rtl w:val="0"/>
        </w:rPr>
        <w:t>czny udzia</w:t>
      </w:r>
      <w:r>
        <w:rPr>
          <w:rFonts w:ascii="Arial" w:hAnsi="Arial" w:hint="default"/>
          <w:shd w:val="clear" w:color="auto" w:fill="ffffff"/>
          <w:rtl w:val="0"/>
        </w:rPr>
        <w:t xml:space="preserve">ł </w:t>
      </w:r>
      <w:r>
        <w:rPr>
          <w:rFonts w:ascii="Arial" w:hAnsi="Arial"/>
          <w:shd w:val="clear" w:color="auto" w:fill="ffffff"/>
          <w:rtl w:val="0"/>
        </w:rPr>
        <w:t>nie przekroczy 10,18% kapita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u zak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adowego sp</w:t>
      </w:r>
      <w:r>
        <w:rPr>
          <w:rFonts w:ascii="Arial" w:hAnsi="Arial" w:hint="default"/>
          <w:shd w:val="clear" w:color="auto" w:fill="ffffff"/>
          <w:rtl w:val="0"/>
        </w:rPr>
        <w:t>ół</w:t>
      </w:r>
      <w:r>
        <w:rPr>
          <w:rFonts w:ascii="Arial" w:hAnsi="Arial"/>
          <w:shd w:val="clear" w:color="auto" w:fill="ffffff"/>
          <w:rtl w:val="0"/>
        </w:rPr>
        <w:t xml:space="preserve">ki. Program potrwa do dnia wyczerpania przeznaczonych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rodk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 finansowych, jednak nie d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u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ej ni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do 30 czerwca 2023 r. Skupione akcje zostan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docelowo umorzone z jednoczesnym obni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eniem kapita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u z ak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adowego sp</w:t>
      </w:r>
      <w:r>
        <w:rPr>
          <w:rFonts w:ascii="Arial" w:hAnsi="Arial" w:hint="default"/>
          <w:shd w:val="clear" w:color="auto" w:fill="ffffff"/>
          <w:rtl w:val="0"/>
        </w:rPr>
        <w:t>ół</w:t>
      </w:r>
      <w:r>
        <w:rPr>
          <w:rFonts w:ascii="Arial" w:hAnsi="Arial"/>
          <w:shd w:val="clear" w:color="auto" w:fill="ffffff"/>
          <w:rtl w:val="0"/>
        </w:rPr>
        <w:t>ki.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-Od lat trwa dyskusja na temat skup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 akcji jako alternatywy dla dywidendy. Nie mo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na powiedzie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ć 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eby skupowanie akcji w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asnych przez sp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ół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ki notowane na polskim rynku by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o czym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ś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nowym, jednak nie jest to jeszcze tak powszechne jak rynkach bardziej rozwini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ę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tych. Nasza sp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ół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ka do buy backu podchodzi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a ju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ż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 zesz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ym roku. Ostatecznie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rodki finansowe przeznaczyli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my na rozw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j grupy i to by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a bardzo dobra decyzja. Obecny stan koniunktury gie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dowej wydaje si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ę 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o wiele lepszy na taki krok jak skup, o ile nie optymalny. Mo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e, o tym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wiadczy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fakt,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e na podobne dzia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anie zdecydowa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y tak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e inne notowane sp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ół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ki - m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wi Jakub Pieczykolan, prezes QubicGames.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Sp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ół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ka b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dzie na bie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żą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co informowa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a o post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pach w zakupie akcji, w tym tak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 o konkretnej ilo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ci nabytych akcji.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Normal.0"/>
        <w:spacing w:before="240" w:after="240"/>
      </w:pPr>
      <w:r>
        <w:rPr>
          <w:rtl w:val="0"/>
          <w:lang w:val="en-US"/>
        </w:rPr>
        <w:t>____________________________</w:t>
      </w:r>
    </w:p>
    <w:p>
      <w:pPr>
        <w:pStyle w:val="Normal.0"/>
        <w:spacing w:before="120" w:after="0" w:line="360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sp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ce:</w:t>
      </w:r>
    </w:p>
    <w:p>
      <w:pPr>
        <w:pStyle w:val="Normal.0"/>
        <w:spacing w:before="120" w:after="0" w:line="360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 QubicGames S.A. to wydawca i developer niezale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nych gier Premium z 17-letnim do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wiadczeniem. Sp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 specjalizuje si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tworzeniu, portowaniu i wydawaniu gier na platform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Nintendo Switch. Jest skutecznym i globalnym wydawc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ry wsp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pracuje z developerami z ponad 10 kraj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w. Od wrze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nia 2016 roku akcje QubicGames s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notowane na rynku NewConnect.</w:t>
      </w:r>
    </w:p>
    <w:p>
      <w:pPr>
        <w:pStyle w:val="Normal.0"/>
        <w:spacing w:before="120" w:after="100"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Wi</w:t>
      </w:r>
      <w:r>
        <w:rPr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rtl w:val="0"/>
        </w:rPr>
        <w:t>cej informacji o sp</w:t>
      </w:r>
      <w:r>
        <w:rPr>
          <w:b w:val="1"/>
          <w:bCs w:val="1"/>
          <w:sz w:val="20"/>
          <w:szCs w:val="20"/>
          <w:rtl w:val="0"/>
        </w:rPr>
        <w:t>ół</w:t>
      </w:r>
      <w:r>
        <w:rPr>
          <w:b w:val="1"/>
          <w:bCs w:val="1"/>
          <w:sz w:val="20"/>
          <w:szCs w:val="20"/>
          <w:rtl w:val="0"/>
          <w:lang w:val="fr-FR"/>
        </w:rPr>
        <w:t>ce mo</w:t>
      </w:r>
      <w:r>
        <w:rPr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</w:rPr>
        <w:t>na znale</w:t>
      </w:r>
      <w:r>
        <w:rPr>
          <w:b w:val="1"/>
          <w:bCs w:val="1"/>
          <w:sz w:val="20"/>
          <w:szCs w:val="20"/>
          <w:rtl w:val="0"/>
        </w:rPr>
        <w:t xml:space="preserve">źć </w:t>
      </w:r>
      <w:r>
        <w:rPr>
          <w:b w:val="1"/>
          <w:bCs w:val="1"/>
          <w:sz w:val="20"/>
          <w:szCs w:val="20"/>
          <w:rtl w:val="0"/>
        </w:rPr>
        <w:t>na: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Stronie internetowej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"https://qubicgames.com/"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https://qubicgames.com/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Facebooku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"https://www.facebook.com/havefuneverywhere/"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https://www.facebook.com/havefuneverywhere/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Twitterze 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"https://twitter.com/QubicGames"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https://twitter.com/QubicGames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</w:rPr>
        <w:t xml:space="preserve"> </w:t>
      </w:r>
    </w:p>
    <w:p>
      <w:pPr>
        <w:pStyle w:val="Normal.0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Normal.0"/>
        <w:spacing w:before="12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Kontakt dla inwestor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spacing w:before="12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Tomasz Muchalski,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"mailto:t.muchalski@strictminds.com"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t.muchalski@strictminds.com</w:t>
      </w:r>
      <w:r>
        <w:rPr/>
        <w:fldChar w:fldCharType="end" w:fldLock="0"/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tel. +48 504 212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463</w:t>
      </w:r>
    </w:p>
    <w:p>
      <w:pPr>
        <w:pStyle w:val="Normal.0"/>
        <w:spacing w:before="12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Kontakt dla medi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w: </w:t>
      </w:r>
    </w:p>
    <w:p>
      <w:pPr>
        <w:pStyle w:val="Normal.0"/>
        <w:spacing w:before="12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Anna Budzy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ska,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"mailto:a.potentas@strictminds.com"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a.potentas@strictminds.com</w:t>
      </w:r>
      <w:r>
        <w:rPr/>
        <w:fldChar w:fldCharType="end" w:fldLock="0"/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tel. +48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530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035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335</w:t>
      </w:r>
    </w:p>
    <w:p>
      <w:pPr>
        <w:pStyle w:val="Normal.0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tabs>
          <w:tab w:val="left" w:pos="3759"/>
        </w:tabs>
      </w:pPr>
      <w:r>
        <w:rPr>
          <w:sz w:val="20"/>
          <w:szCs w:val="20"/>
        </w:rPr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both"/>
    </w:pP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QUBICGAMES S.A. Z SIEDZIB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 xml:space="preserve">Ą </w:t>
    </w:r>
    <w:r>
      <w:rPr>
        <w:outline w:val="0"/>
        <w:color w:val="767171"/>
        <w:sz w:val="16"/>
        <w:szCs w:val="16"/>
        <w:u w:color="767171"/>
        <w:rtl w:val="0"/>
        <w:lang w:val="de-DE"/>
        <w14:textFill>
          <w14:solidFill>
            <w14:srgbClr w14:val="767171"/>
          </w14:solidFill>
        </w14:textFill>
      </w:rPr>
      <w:t>W SIEDLCACH, UL. KATEDRALNA 16,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 </w:t>
    </w:r>
    <w:r>
      <w:rPr>
        <w:outline w:val="0"/>
        <w:color w:val="767171"/>
        <w:sz w:val="16"/>
        <w:szCs w:val="16"/>
        <w:u w:color="767171"/>
        <w:rtl w:val="0"/>
        <w:lang w:val="es-ES_tradnl"/>
        <w14:textFill>
          <w14:solidFill>
            <w14:srgbClr w14:val="767171"/>
          </w14:solidFill>
        </w14:textFill>
      </w:rPr>
      <w:t>08-110 SIEDLCE, WPISANA DO REJESTRU PRZEDSI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Ę</w:t>
    </w:r>
    <w:r>
      <w:rPr>
        <w:outline w:val="0"/>
        <w:color w:val="767171"/>
        <w:sz w:val="16"/>
        <w:szCs w:val="16"/>
        <w:u w:color="767171"/>
        <w:rtl w:val="0"/>
        <w:lang w:val="da-DK"/>
        <w14:textFill>
          <w14:solidFill>
            <w14:srgbClr w14:val="767171"/>
          </w14:solidFill>
        </w14:textFill>
      </w:rPr>
      <w:t>BIORC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Ó</w:t>
    </w:r>
    <w:r>
      <w:rPr>
        <w:outline w:val="0"/>
        <w:color w:val="767171"/>
        <w:sz w:val="16"/>
        <w:szCs w:val="16"/>
        <w:u w:color="767171"/>
        <w:rtl w:val="0"/>
        <w:lang w:val="de-DE"/>
        <w14:textFill>
          <w14:solidFill>
            <w14:srgbClr w14:val="767171"/>
          </w14:solidFill>
        </w14:textFill>
      </w:rPr>
      <w:t>W KRAJOWEGO REJESTRU S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Ą</w:t>
    </w:r>
    <w:r>
      <w:rPr>
        <w:outline w:val="0"/>
        <w:color w:val="767171"/>
        <w:sz w:val="16"/>
        <w:szCs w:val="16"/>
        <w:u w:color="767171"/>
        <w:rtl w:val="0"/>
        <w:lang w:val="de-DE"/>
        <w14:textFill>
          <w14:solidFill>
            <w14:srgbClr w14:val="767171"/>
          </w14:solidFill>
        </w14:textFill>
      </w:rPr>
      <w:t>DOWEGO PROWADZONEGO PRZEZ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 </w:t>
    </w:r>
    <w:r>
      <w:rPr>
        <w:outline w:val="0"/>
        <w:color w:val="767171"/>
        <w:sz w:val="16"/>
        <w:szCs w:val="16"/>
        <w:u w:color="767171"/>
        <w:shd w:val="clear" w:color="auto" w:fill="ffffff"/>
        <w:rtl w:val="0"/>
        <w14:textFill>
          <w14:solidFill>
            <w14:srgbClr w14:val="767171"/>
          </w14:solidFill>
        </w14:textFill>
      </w:rPr>
      <w:t>S</w:t>
    </w:r>
    <w:r>
      <w:rPr>
        <w:outline w:val="0"/>
        <w:color w:val="767171"/>
        <w:sz w:val="16"/>
        <w:szCs w:val="16"/>
        <w:u w:color="767171"/>
        <w:shd w:val="clear" w:color="auto" w:fill="ffffff"/>
        <w:rtl w:val="0"/>
        <w14:textFill>
          <w14:solidFill>
            <w14:srgbClr w14:val="767171"/>
          </w14:solidFill>
        </w14:textFill>
      </w:rPr>
      <w:t>Ą</w:t>
    </w:r>
    <w:r>
      <w:rPr>
        <w:outline w:val="0"/>
        <w:color w:val="767171"/>
        <w:sz w:val="16"/>
        <w:szCs w:val="16"/>
        <w:u w:color="767171"/>
        <w:shd w:val="clear" w:color="auto" w:fill="ffffff"/>
        <w:rtl w:val="0"/>
        <w14:textFill>
          <w14:solidFill>
            <w14:srgbClr w14:val="767171"/>
          </w14:solidFill>
        </w14:textFill>
      </w:rPr>
      <w:t>D REJONOWY DLA M. ST. WARSZAWY W WARSZAWIE, XIV WYDZIA</w:t>
    </w:r>
    <w:r>
      <w:rPr>
        <w:outline w:val="0"/>
        <w:color w:val="767171"/>
        <w:sz w:val="16"/>
        <w:szCs w:val="16"/>
        <w:u w:color="767171"/>
        <w:shd w:val="clear" w:color="auto" w:fill="ffffff"/>
        <w:rtl w:val="0"/>
        <w14:textFill>
          <w14:solidFill>
            <w14:srgbClr w14:val="767171"/>
          </w14:solidFill>
        </w14:textFill>
      </w:rPr>
      <w:t xml:space="preserve">Ł </w:t>
    </w:r>
    <w:r>
      <w:rPr>
        <w:outline w:val="0"/>
        <w:color w:val="767171"/>
        <w:sz w:val="16"/>
        <w:szCs w:val="16"/>
        <w:u w:color="767171"/>
        <w:shd w:val="clear" w:color="auto" w:fill="ffffff"/>
        <w:rtl w:val="0"/>
        <w:lang w:val="en-US"/>
        <w14:textFill>
          <w14:solidFill>
            <w14:srgbClr w14:val="767171"/>
          </w14:solidFill>
        </w14:textFill>
      </w:rPr>
      <w:t>GOSPODARCZY KRAJOWEGO REJESTRU S</w:t>
    </w:r>
    <w:r>
      <w:rPr>
        <w:outline w:val="0"/>
        <w:color w:val="767171"/>
        <w:sz w:val="16"/>
        <w:szCs w:val="16"/>
        <w:u w:color="767171"/>
        <w:shd w:val="clear" w:color="auto" w:fill="ffffff"/>
        <w:rtl w:val="0"/>
        <w14:textFill>
          <w14:solidFill>
            <w14:srgbClr w14:val="767171"/>
          </w14:solidFill>
        </w14:textFill>
      </w:rPr>
      <w:t>Ą</w:t>
    </w:r>
    <w:r>
      <w:rPr>
        <w:outline w:val="0"/>
        <w:color w:val="767171"/>
        <w:sz w:val="16"/>
        <w:szCs w:val="16"/>
        <w:u w:color="767171"/>
        <w:shd w:val="clear" w:color="auto" w:fill="ffffff"/>
        <w:rtl w:val="0"/>
        <w:lang w:val="de-DE"/>
        <w14:textFill>
          <w14:solidFill>
            <w14:srgbClr w14:val="767171"/>
          </w14:solidFill>
        </w14:textFill>
      </w:rPr>
      <w:t>DOWEGO</w:t>
    </w:r>
    <w:r>
      <w:rPr>
        <w:outline w:val="0"/>
        <w:color w:val="767171"/>
        <w:sz w:val="16"/>
        <w:szCs w:val="16"/>
        <w:u w:color="767171"/>
        <w:rtl w:val="0"/>
        <w:lang w:val="de-DE"/>
        <w14:textFill>
          <w14:solidFill>
            <w14:srgbClr w14:val="767171"/>
          </w14:solidFill>
        </w14:textFill>
      </w:rPr>
      <w:t>, POD NUMEREM KRS: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 </w:t>
    </w:r>
    <w:r>
      <w:rPr>
        <w:outline w:val="0"/>
        <w:color w:val="767171"/>
        <w:sz w:val="16"/>
        <w:szCs w:val="16"/>
        <w:u w:color="767171"/>
        <w:shd w:val="clear" w:color="auto" w:fill="eeeeee"/>
        <w:rtl w:val="0"/>
        <w14:textFill>
          <w14:solidFill>
            <w14:srgbClr w14:val="767171"/>
          </w14:solidFill>
        </w14:textFill>
      </w:rPr>
      <w:t>0000598476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 xml:space="preserve">, NIP: </w:t>
    </w:r>
    <w:r>
      <w:rPr>
        <w:outline w:val="0"/>
        <w:color w:val="767171"/>
        <w:sz w:val="16"/>
        <w:szCs w:val="16"/>
        <w:u w:color="767171"/>
        <w:shd w:val="clear" w:color="auto" w:fill="eeeeee"/>
        <w:rtl w:val="0"/>
        <w14:textFill>
          <w14:solidFill>
            <w14:srgbClr w14:val="767171"/>
          </w14:solidFill>
        </w14:textFill>
      </w:rPr>
      <w:t>8212515641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, O KAPITALE ZAK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Ł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ADOWYM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 </w:t>
    </w:r>
    <w:r>
      <w:rPr>
        <w:outline w:val="0"/>
        <w:color w:val="767171"/>
        <w:sz w:val="16"/>
        <w:szCs w:val="16"/>
        <w:u w:color="767171"/>
        <w:shd w:val="clear" w:color="auto" w:fill="ffffff"/>
        <w:rtl w:val="0"/>
        <w14:textFill>
          <w14:solidFill>
            <w14:srgbClr w14:val="767171"/>
          </w14:solidFill>
        </w14:textFill>
      </w:rPr>
      <w:t>982</w:t>
    </w:r>
    <w:r>
      <w:rPr>
        <w:outline w:val="0"/>
        <w:color w:val="767171"/>
        <w:sz w:val="16"/>
        <w:szCs w:val="16"/>
        <w:u w:color="767171"/>
        <w:shd w:val="clear" w:color="auto" w:fill="ffffff"/>
        <w:rtl w:val="0"/>
        <w14:textFill>
          <w14:solidFill>
            <w14:srgbClr w14:val="767171"/>
          </w14:solidFill>
        </w14:textFill>
      </w:rPr>
      <w:t> </w:t>
    </w:r>
    <w:r>
      <w:rPr>
        <w:outline w:val="0"/>
        <w:color w:val="767171"/>
        <w:sz w:val="16"/>
        <w:szCs w:val="16"/>
        <w:u w:color="767171"/>
        <w:shd w:val="clear" w:color="auto" w:fill="ffffff"/>
        <w:rtl w:val="0"/>
        <w:lang w:val="en-US"/>
        <w14:textFill>
          <w14:solidFill>
            <w14:srgbClr w14:val="767171"/>
          </w14:solidFill>
        </w14:textFill>
      </w:rPr>
      <w:t>000,00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 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Z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 xml:space="preserve">Ł 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W CA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Ł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O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Ś</w:t>
    </w:r>
    <w:r>
      <w:rPr>
        <w:outline w:val="0"/>
        <w:color w:val="767171"/>
        <w:sz w:val="16"/>
        <w:szCs w:val="16"/>
        <w:u w:color="767171"/>
        <w:rtl w:val="0"/>
        <w:lang w:val="en-US"/>
        <w14:textFill>
          <w14:solidFill>
            <w14:srgbClr w14:val="767171"/>
          </w14:solidFill>
        </w14:textFill>
      </w:rPr>
      <w:t>CI WP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Ł</w:t>
    </w:r>
    <w:r>
      <w:rPr>
        <w:outline w:val="0"/>
        <w:color w:val="767171"/>
        <w:sz w:val="16"/>
        <w:szCs w:val="16"/>
        <w:u w:color="767171"/>
        <w:rtl w:val="0"/>
        <w14:textFill>
          <w14:solidFill>
            <w14:srgbClr w14:val="767171"/>
          </w14:solidFill>
        </w14:textFill>
      </w:rPr>
      <w:t>ACONYM.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2967989</wp:posOffset>
          </wp:positionH>
          <wp:positionV relativeFrom="page">
            <wp:posOffset>638810</wp:posOffset>
          </wp:positionV>
          <wp:extent cx="1400175" cy="6127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612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rFonts w:ascii="Calibri" w:cs="Calibri" w:hAnsi="Calibri" w:eastAsia="Calibri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